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Beleidsplan</w:t>
      </w:r>
      <w:r w:rsidDel="00000000" w:rsidR="00000000" w:rsidRPr="00000000">
        <w:rPr>
          <w:rFonts w:ascii="Times New Roman" w:cs="Times New Roman" w:eastAsia="Times New Roman" w:hAnsi="Times New Roman"/>
          <w:b w:val="1"/>
          <w:bCs w:val="1"/>
          <w:sz w:val="28"/>
          <w:szCs w:val="28"/>
          <w:rtl w:val="0"/>
        </w:rPr>
        <w:t xml:space="preserve"> Erwin Nypels Stichting 2026-2030</w:t>
      </w:r>
    </w:p>
    <w:p w:rsidR="00000000" w:rsidDel="00000000" w:rsidP="00000000" w:rsidRDefault="00000000" w:rsidRPr="00000000" w14:paraId="00000002">
      <w:pPr>
        <w:pageBreakBefore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03">
      <w:pPr>
        <w:pageBreakBefore w:val="0"/>
        <w:rPr>
          <w:b w:val="1"/>
          <w:bCs w:val="1"/>
        </w:rPr>
      </w:pPr>
      <w:r w:rsidDel="00000000" w:rsidR="00000000" w:rsidRPr="00000000">
        <w:rPr>
          <w:b w:val="1"/>
          <w:bCs w:val="1"/>
          <w:rtl w:val="0"/>
        </w:rPr>
        <w:t xml:space="preserve">Inleiding</w:t>
      </w:r>
    </w:p>
    <w:p w:rsidR="00000000" w:rsidDel="00000000" w:rsidP="00000000" w:rsidRDefault="00000000" w:rsidRPr="00000000" w14:paraId="00000004">
      <w:pPr>
        <w:pageBreakBefore w:val="0"/>
        <w:rPr/>
      </w:pPr>
      <w:r w:rsidDel="00000000" w:rsidR="00000000" w:rsidRPr="00000000">
        <w:rPr>
          <w:rtl w:val="0"/>
        </w:rPr>
        <w:t xml:space="preserve">De Jonge Democraten (JD) is een politieke jongerenorganisaties in Nederland, met leden van 12 tot 30 jaar oud. De JD heeft een progressief-liberale visie en zet zich in voor een maatschappij waarin iedereen vrij is om zich te ontplooien volgens zijn eigen ideaalbeeld. Zij richt zich vooral op de volledige deelname van jongeren aan de politiek en de maatschappij. Belangrijke thema's zijn duurzaamheid, onderwijs, Europese samenwerking en integratie. De JD is onafhankelijk in ideologie en uitvoering, maar wel verbonden met D66. Als vereniging ligt de uiteindelijke besluitvorming bij de Algemene Ledenvergadering (ALV).</w:t>
      </w:r>
    </w:p>
    <w:p w:rsidR="00000000" w:rsidDel="00000000" w:rsidP="00000000" w:rsidRDefault="00000000" w:rsidRPr="00000000" w14:paraId="00000005">
      <w:pPr>
        <w:pageBreakBefore w:val="0"/>
        <w:rPr/>
      </w:pPr>
      <w:r w:rsidDel="00000000" w:rsidR="00000000" w:rsidRPr="00000000">
        <w:rPr>
          <w:rtl w:val="0"/>
        </w:rPr>
        <w:t xml:space="preserve">De JD is financieel afhankelijk van ledencontributie en subsidiegelden, waarvan de hoogte afhangt van de verkiezingsresultaten van D66 en het aantal leden van de JD. Hierdoor kunnen inkomsten sterk fluctueren en is een plotse terugloop of groei in inkomsten niet geheel te voorspellen. </w:t>
      </w:r>
    </w:p>
    <w:p w:rsidR="00000000" w:rsidDel="00000000" w:rsidP="00000000" w:rsidRDefault="00000000" w:rsidRPr="00000000" w14:paraId="00000006">
      <w:pPr>
        <w:pageBreakBefore w:val="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b w:val="1"/>
          <w:bCs w:val="1"/>
          <w:rtl w:val="0"/>
        </w:rPr>
        <w:t xml:space="preserve">Doelstelling en werkzaamheden van de Erwin Nypels Stichting</w:t>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De Erwin Nypels Stichting (ENS), </w:t>
      </w:r>
      <w:r w:rsidDel="00000000" w:rsidR="00000000" w:rsidRPr="00000000">
        <w:rPr>
          <w:rtl w:val="0"/>
        </w:rPr>
        <w:t xml:space="preserve">vernoemd naar een van de medeoprichters van D66, </w:t>
      </w:r>
      <w:r w:rsidDel="00000000" w:rsidR="00000000" w:rsidRPr="00000000">
        <w:rPr>
          <w:rtl w:val="0"/>
        </w:rPr>
        <w:t xml:space="preserve">is de steunstichting van de JD. Het primaire doel van de ENS is het waarborgen van de continuïteit van de JD in tijden van financiële krapte. Dit doet zij door het opbouwen en beheren van een financiële reserve waarmee deze eventuele verliezen in inkomsten in de toekomst kunnen worden opgevangen. De stichting heeft geen winstoogmerk.</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Het landelijk bestuur van de Jonge Democraten kan een verzoek doen tot uitkering van de Erwin Nypels Stichting op het moment dat er behoefte is aan extra financiële ondersteuning. Het bestuur van de ENS voert daarop een</w:t>
      </w:r>
      <w:r w:rsidDel="00000000" w:rsidR="00000000" w:rsidRPr="00000000">
        <w:rPr>
          <w:rtl w:val="0"/>
        </w:rPr>
        <w:t xml:space="preserve"> marginale toetsing uit, aangezien het opstellen van de begroting de taak is van het landelijk bestuur van de JD en deze door de ALV wordt vastgesteld. Er is daarom niet eenduidig vastgelegd wanneer er een uitkering plaats zal vinden. Wel zijn in een separaat document de voornaamste randvoorwaarden vastgelegd waaraan getoetst zal worden. Deze voorwaarden zijn bij het landelijk bestuur van de JD bekend.</w: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bCs w:val="1"/>
        </w:rPr>
      </w:pPr>
      <w:r w:rsidDel="00000000" w:rsidR="00000000" w:rsidRPr="00000000">
        <w:rPr>
          <w:b w:val="1"/>
          <w:bCs w:val="1"/>
          <w:rtl w:val="0"/>
        </w:rPr>
        <w:t xml:space="preserve">De wijze van werving van inkomsten</w:t>
      </w:r>
    </w:p>
    <w:p w:rsidR="00000000" w:rsidDel="00000000" w:rsidP="00000000" w:rsidRDefault="00000000" w:rsidRPr="00000000" w14:paraId="0000000D">
      <w:pPr>
        <w:pageBreakBefore w:val="0"/>
        <w:rPr/>
      </w:pPr>
      <w:r w:rsidDel="00000000" w:rsidR="00000000" w:rsidRPr="00000000">
        <w:rPr>
          <w:rtl w:val="0"/>
        </w:rPr>
        <w:t xml:space="preserve">De </w:t>
      </w:r>
      <w:r w:rsidDel="00000000" w:rsidR="00000000" w:rsidRPr="00000000">
        <w:rPr>
          <w:rtl w:val="0"/>
        </w:rPr>
        <w:t xml:space="preserve">inkomsten van de Erwin Nypels Stichting bestaan voornamelijk uit:</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J</w:t>
      </w:r>
      <w:r w:rsidDel="00000000" w:rsidR="00000000" w:rsidRPr="00000000">
        <w:rPr>
          <w:rtl w:val="0"/>
        </w:rPr>
        <w:t xml:space="preserve">aarlijks bepaalt de penningmeester van de JD bij het opstellen van de begroting hoeveel er kan worden overgemaakt naar het reservefonds van de ENS. Deze overboekingen worden opgenomen in de jaarbegroting en ter goedkeuring voorgelegd aan de ALV.</w:t>
      </w: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Rente-inkomsten voortkomend uit het beheerde vermogen van de stichting.</w:t>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Donaties van derden. In de afgelopen periode heeft dit niet plaatsgevonden. In het geval van donaties is de meest waarschijnlijke donateur de </w:t>
      </w:r>
      <w:r w:rsidDel="00000000" w:rsidR="00000000" w:rsidRPr="00000000">
        <w:rPr>
          <w:rtl w:val="0"/>
        </w:rPr>
        <w:t xml:space="preserve">Vrienden van de Jonge Democraten (VJD). De VJD is de </w:t>
      </w:r>
      <w:r w:rsidDel="00000000" w:rsidR="00000000" w:rsidRPr="00000000">
        <w:rPr>
          <w:rtl w:val="0"/>
        </w:rPr>
        <w:t xml:space="preserve">reünisten-</w:t>
      </w:r>
      <w:r w:rsidDel="00000000" w:rsidR="00000000" w:rsidRPr="00000000">
        <w:rPr>
          <w:rtl w:val="0"/>
        </w:rPr>
        <w:t xml:space="preserve"> en donateursvereniging van de JD en krijgt jaarlijks van haar leden inkomsten. Zij doneert jaarlijks een deel van haar inkomsten aan de JD en een ander deel wordt opzij gezet voor speciale aanvragen van de JD. De VJD kan, net zoals andere donateurs er ook voor kiezen om rechtstreeks geld over te maken op de bankrekening van de Erwin Nypels Stichting.</w:t>
      </w: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b w:val="1"/>
          <w:bCs w:val="1"/>
          <w:rtl w:val="0"/>
        </w:rPr>
        <w:t xml:space="preserve">Het beheer en de besteding van het vermogen </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Op het congres in 2017 in Venlo is ORG06 ‘goed voor je weerstand’ door de algemene ledenvergadering van de JD aangenomen. Het bestuur van de Erwin Nypels Stichting streeft er naar onderstaande richtlijnen zo goed mogelijk na te leven.</w:t>
      </w:r>
    </w:p>
    <w:p w:rsidR="00000000" w:rsidDel="00000000" w:rsidP="00000000" w:rsidRDefault="00000000" w:rsidRPr="00000000" w14:paraId="00000014">
      <w:pPr>
        <w:widowControl w:val="0"/>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180" w:bottomFromText="180" w:vertAnchor="text" w:horzAnchor="text" w:tblpX="0" w:tblpY="0"/>
        <w:tblW w:w="9000.0" w:type="dxa"/>
        <w:jc w:val="left"/>
        <w:tblInd w:w="-15.0" w:type="dxa"/>
        <w:tblLayout w:type="fixed"/>
        <w:tblLook w:val="0400"/>
      </w:tblPr>
      <w:tblGrid>
        <w:gridCol w:w="1665"/>
        <w:gridCol w:w="7335"/>
        <w:tblGridChange w:id="0">
          <w:tblGrid>
            <w:gridCol w:w="1665"/>
            <w:gridCol w:w="7335"/>
          </w:tblGrid>
        </w:tblGridChange>
      </w:tblGrid>
      <w:tr>
        <w:trPr>
          <w:cantSplit w:val="0"/>
          <w:trHeight w:val="237.978515625" w:hRule="atLeast"/>
          <w:tblHeader w:val="0"/>
        </w:trPr>
        <w:tc>
          <w:tcPr>
            <w:tcBorders>
              <w:top w:color="000000" w:space="0" w:sz="18" w:val="single"/>
              <w:left w:color="000000" w:space="0" w:sz="6" w:val="single"/>
              <w:bottom w:color="000000" w:space="0" w:sz="48" w:val="single"/>
              <w:right w:color="000000" w:space="0" w:sz="6" w:val="single"/>
            </w:tcBorders>
            <w:shd w:fill="000000" w:val="clear"/>
            <w:vAlign w:val="center"/>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color w:val="ffffff"/>
                <w:rtl w:val="0"/>
              </w:rPr>
              <w:t xml:space="preserve">ORG06 </w:t>
            </w:r>
            <w:r w:rsidDel="00000000" w:rsidR="00000000" w:rsidRPr="00000000">
              <w:rPr>
                <w:rtl w:val="0"/>
              </w:rPr>
            </w:r>
          </w:p>
        </w:tc>
        <w:tc>
          <w:tcPr>
            <w:tcBorders>
              <w:top w:color="000000" w:space="0" w:sz="18" w:val="single"/>
              <w:left w:color="000000" w:space="0" w:sz="6" w:val="single"/>
              <w:bottom w:color="000000" w:space="0" w:sz="48" w:val="single"/>
              <w:right w:color="000000" w:space="0" w:sz="6" w:val="single"/>
            </w:tcBorders>
            <w:shd w:fill="000000" w:val="clear"/>
            <w:vAlign w:val="center"/>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color w:val="ffffff"/>
                <w:rtl w:val="0"/>
              </w:rPr>
              <w:t xml:space="preserve">Goed voor je weerstand! </w:t>
            </w:r>
            <w:r w:rsidDel="00000000" w:rsidR="00000000" w:rsidRPr="00000000">
              <w:rPr>
                <w:rtl w:val="0"/>
              </w:rPr>
            </w:r>
          </w:p>
        </w:tc>
      </w:tr>
      <w:tr>
        <w:trPr>
          <w:cantSplit w:val="0"/>
          <w:tblHeader w:val="0"/>
        </w:trPr>
        <w:tc>
          <w:tcPr>
            <w:tcBorders>
              <w:top w:color="000000" w:space="0" w:sz="48" w:val="single"/>
              <w:left w:color="000000" w:space="0" w:sz="6" w:val="single"/>
              <w:bottom w:color="000000" w:space="0" w:sz="48" w:val="single"/>
              <w:right w:color="000000" w:space="0" w:sz="6" w:val="single"/>
            </w:tcBorders>
            <w:shd w:fill="cccccc" w:val="clear"/>
            <w:vAlign w:val="center"/>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Indieners: </w:t>
            </w:r>
            <w:r w:rsidDel="00000000" w:rsidR="00000000" w:rsidRPr="00000000">
              <w:rPr>
                <w:rtl w:val="0"/>
              </w:rPr>
            </w:r>
          </w:p>
        </w:tc>
        <w:tc>
          <w:tcPr>
            <w:tcBorders>
              <w:top w:color="000000" w:space="0" w:sz="48" w:val="single"/>
              <w:left w:color="000000" w:space="0" w:sz="6" w:val="single"/>
              <w:bottom w:color="000000" w:space="0" w:sz="48" w:val="single"/>
              <w:right w:color="000000" w:space="0" w:sz="6" w:val="single"/>
            </w:tcBorders>
            <w:shd w:fill="cccccc" w:val="clear"/>
            <w:vAlign w:val="center"/>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rtl w:val="0"/>
              </w:rPr>
              <w:t xml:space="preserve">[Commissie Vermogensbeheer] </w:t>
            </w:r>
            <w:r w:rsidDel="00000000" w:rsidR="00000000" w:rsidRPr="00000000">
              <w:rPr>
                <w:rtl w:val="0"/>
              </w:rPr>
            </w:r>
          </w:p>
        </w:tc>
      </w:tr>
      <w:tr>
        <w:trPr>
          <w:cantSplit w:val="0"/>
          <w:tblHeader w:val="0"/>
        </w:trPr>
        <w:tc>
          <w:tcPr>
            <w:tcBorders>
              <w:top w:color="000000" w:space="0" w:sz="48" w:val="single"/>
              <w:left w:color="000000" w:space="0" w:sz="6" w:val="single"/>
              <w:bottom w:color="000000" w:space="0" w:sz="48" w:val="single"/>
              <w:right w:color="000000" w:space="0" w:sz="6" w:val="single"/>
            </w:tcBorders>
            <w:shd w:fill="cccccc" w:val="clear"/>
            <w:vAlign w:val="center"/>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Woordvoerder: </w:t>
            </w:r>
            <w:r w:rsidDel="00000000" w:rsidR="00000000" w:rsidRPr="00000000">
              <w:rPr>
                <w:rtl w:val="0"/>
              </w:rPr>
            </w:r>
          </w:p>
        </w:tc>
        <w:tc>
          <w:tcPr>
            <w:tcBorders>
              <w:top w:color="000000" w:space="0" w:sz="48" w:val="single"/>
              <w:left w:color="000000" w:space="0" w:sz="6" w:val="single"/>
              <w:bottom w:color="000000" w:space="0" w:sz="48" w:val="single"/>
              <w:right w:color="000000" w:space="0" w:sz="6" w:val="single"/>
            </w:tcBorders>
            <w:shd w:fill="cccccc" w:val="clear"/>
            <w:vAlign w:val="center"/>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rtl w:val="0"/>
              </w:rPr>
              <w:t xml:space="preserve">Robert Landheer </w:t>
            </w:r>
            <w:r w:rsidDel="00000000" w:rsidR="00000000" w:rsidRPr="00000000">
              <w:rPr>
                <w:rtl w:val="0"/>
              </w:rPr>
            </w:r>
          </w:p>
        </w:tc>
      </w:tr>
      <w:tr>
        <w:trPr>
          <w:cantSplit w:val="0"/>
          <w:trHeight w:val="840" w:hRule="atLeast"/>
          <w:tblHeader w:val="0"/>
        </w:trPr>
        <w:tc>
          <w:tcPr>
            <w:tcBorders>
              <w:top w:color="000000" w:space="0" w:sz="48" w:val="single"/>
              <w:left w:color="000000" w:space="0" w:sz="6" w:val="single"/>
              <w:bottom w:color="000000" w:space="0" w:sz="36" w:val="single"/>
              <w:right w:color="000000" w:space="0" w:sz="6" w:val="single"/>
            </w:tcBorders>
            <w:shd w:fill="ffffff" w:val="clear"/>
            <w:vAlign w:val="center"/>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Constaterende dat</w:t>
            </w:r>
            <w:r w:rsidDel="00000000" w:rsidR="00000000" w:rsidRPr="00000000">
              <w:rPr>
                <w:rtl w:val="0"/>
              </w:rPr>
            </w:r>
          </w:p>
        </w:tc>
        <w:tc>
          <w:tcPr>
            <w:tcBorders>
              <w:top w:color="000000" w:space="0" w:sz="48" w:val="single"/>
              <w:left w:color="000000" w:space="0" w:sz="6" w:val="single"/>
              <w:bottom w:color="000000" w:space="0" w:sz="36" w:val="single"/>
              <w:right w:color="000000" w:space="0" w:sz="6" w:val="single"/>
            </w:tcBorders>
            <w:shd w:fill="ffffff" w:val="clear"/>
            <w:vAlign w:val="center"/>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rtl w:val="0"/>
              </w:rPr>
              <w:t xml:space="preserve">- </w:t>
            </w:r>
            <w:r w:rsidDel="00000000" w:rsidR="00000000" w:rsidRPr="00000000">
              <w:rPr>
                <w:rFonts w:ascii="ArialMT" w:cs="ArialMT" w:eastAsia="ArialMT" w:hAnsi="ArialMT"/>
                <w:rtl w:val="0"/>
              </w:rPr>
              <w:t xml:space="preserve">Berekend is dat de JD nu ca. €300.000 als vermogen heeft, wat stabiliteit voor maximaal 1 jaar geeft bij volledig wegvallen van inkomsten;</w:t>
              <w:br w:type="textWrapping"/>
              <w:t xml:space="preserve">- Politiek de hoogte bepaalt van de subsidie die de JD ontvangt op basis van de WFPP: Wet Financiering Politieke Partijen;</w:t>
              <w:br w:type="textWrapping"/>
              <w:t xml:space="preserve">- Bij de JD de uitgaven voor de inkomsten vooruit gaan: D.w.z. de subsidie wordt pas na afloop van het jaar officieel beschikbaar gesteld. </w:t>
            </w:r>
            <w:r w:rsidDel="00000000" w:rsidR="00000000" w:rsidRPr="00000000">
              <w:rPr>
                <w:rtl w:val="0"/>
              </w:rPr>
            </w:r>
          </w:p>
        </w:tc>
      </w:tr>
      <w:tr>
        <w:trPr>
          <w:cantSplit w:val="0"/>
          <w:trHeight w:val="2160" w:hRule="atLeast"/>
          <w:tblHeader w:val="0"/>
        </w:trPr>
        <w:tc>
          <w:tcPr>
            <w:tcBorders>
              <w:top w:color="000000" w:space="0" w:sz="48" w:val="single"/>
              <w:left w:color="000000" w:space="0" w:sz="6" w:val="single"/>
              <w:bottom w:color="000000" w:space="0" w:sz="48" w:val="single"/>
              <w:right w:color="000000" w:space="0" w:sz="6" w:val="single"/>
            </w:tcBorders>
            <w:shd w:fill="ffffff" w:val="clear"/>
            <w:vAlign w:val="center"/>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Overwegende dat</w:t>
            </w:r>
            <w:r w:rsidDel="00000000" w:rsidR="00000000" w:rsidRPr="00000000">
              <w:rPr>
                <w:rtl w:val="0"/>
              </w:rPr>
            </w:r>
          </w:p>
        </w:tc>
        <w:tc>
          <w:tcPr>
            <w:tcBorders>
              <w:top w:color="000000" w:space="0" w:sz="48" w:val="single"/>
              <w:left w:color="000000" w:space="0" w:sz="6" w:val="single"/>
              <w:bottom w:color="000000" w:space="0" w:sz="48" w:val="single"/>
              <w:right w:color="000000" w:space="0" w:sz="6" w:val="single"/>
            </w:tcBorders>
            <w:shd w:fill="ffffff" w:val="clear"/>
            <w:vAlign w:val="center"/>
          </w:tcPr>
          <w:p w:rsidR="00000000" w:rsidDel="00000000" w:rsidP="00000000" w:rsidRDefault="00000000" w:rsidRPr="00000000" w14:paraId="0000001E">
            <w:pPr>
              <w:spacing w:after="280" w:line="240" w:lineRule="auto"/>
              <w:rPr>
                <w:rFonts w:ascii="ArialMT" w:cs="ArialMT" w:eastAsia="ArialMT" w:hAnsi="ArialMT"/>
              </w:rPr>
            </w:pPr>
            <w:r w:rsidDel="00000000" w:rsidR="00000000" w:rsidRPr="00000000">
              <w:rPr>
                <w:rFonts w:ascii="ArialMT" w:cs="ArialMT" w:eastAsia="ArialMT" w:hAnsi="ArialMT"/>
                <w:rtl w:val="0"/>
              </w:rPr>
              <w:t xml:space="preserve">- </w:t>
            </w:r>
            <w:r w:rsidDel="00000000" w:rsidR="00000000" w:rsidRPr="00000000">
              <w:rPr>
                <w:rFonts w:ascii="ArialMT" w:cs="ArialMT" w:eastAsia="ArialMT" w:hAnsi="ArialMT"/>
                <w:rtl w:val="0"/>
              </w:rPr>
              <w:t xml:space="preserve">Een ruime algemene reserve hanteren helpt om variabiliteit in subsidie- inkomsten op te vangen;</w:t>
              <w:br w:type="textWrapping"/>
              <w:t xml:space="preserve">- Deze reserve voor meer dan 1 jaar geschikt moet zijn;</w:t>
              <w:br w:type="textWrapping"/>
              <w:t xml:space="preserve">- Berekend is dat €426.000 voor een buffer voor ca. 4 jaar moet kunnen zorgen bij wegvallen van 50% van de inkomsten en zuiniger aan doen met uitgaven;</w:t>
            </w:r>
          </w:p>
          <w:p w:rsidR="00000000" w:rsidDel="00000000" w:rsidP="00000000" w:rsidRDefault="00000000" w:rsidRPr="00000000" w14:paraId="0000001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MT" w:cs="ArialMT" w:eastAsia="ArialMT" w:hAnsi="ArialMT"/>
                <w:rtl w:val="0"/>
              </w:rPr>
              <w:t xml:space="preserve">Deze buffer bij nood snel toegankelijk moet zijn. </w:t>
            </w:r>
            <w:r w:rsidDel="00000000" w:rsidR="00000000" w:rsidRPr="00000000">
              <w:rPr>
                <w:rtl w:val="0"/>
              </w:rPr>
            </w:r>
          </w:p>
        </w:tc>
      </w:tr>
      <w:tr>
        <w:trPr>
          <w:cantSplit w:val="0"/>
          <w:tblHeader w:val="0"/>
        </w:trPr>
        <w:tc>
          <w:tcPr>
            <w:tcBorders>
              <w:top w:color="000000" w:space="0" w:sz="48" w:val="single"/>
              <w:left w:color="000000" w:space="0" w:sz="6" w:val="single"/>
              <w:bottom w:color="000000" w:space="0" w:sz="48" w:val="single"/>
              <w:right w:color="000000" w:space="0" w:sz="6" w:val="single"/>
            </w:tcBorders>
            <w:shd w:fill="ffffff" w:val="clear"/>
            <w:vAlign w:val="center"/>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Spreekt uit dat </w:t>
            </w:r>
            <w:r w:rsidDel="00000000" w:rsidR="00000000" w:rsidRPr="00000000">
              <w:rPr>
                <w:rtl w:val="0"/>
              </w:rPr>
            </w:r>
          </w:p>
        </w:tc>
        <w:tc>
          <w:tcPr>
            <w:tcBorders>
              <w:top w:color="000000" w:space="0" w:sz="48" w:val="single"/>
              <w:left w:color="000000" w:space="0" w:sz="6" w:val="single"/>
              <w:bottom w:color="000000" w:space="0" w:sz="48" w:val="single"/>
              <w:right w:color="000000" w:space="0" w:sz="6" w:val="single"/>
            </w:tcBorders>
            <w:shd w:fill="ffffff" w:val="clear"/>
            <w:vAlign w:val="center"/>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rtl w:val="0"/>
              </w:rPr>
              <w:t xml:space="preserve">- </w:t>
            </w:r>
            <w:r w:rsidDel="00000000" w:rsidR="00000000" w:rsidRPr="00000000">
              <w:rPr>
                <w:rFonts w:ascii="ArialMT" w:cs="ArialMT" w:eastAsia="ArialMT" w:hAnsi="ArialMT"/>
                <w:rtl w:val="0"/>
              </w:rPr>
              <w:t xml:space="preserve">De JD naar een totaal beschikbare reserve (incl. reserveringen en weerstandsvermogen) streeft van minimaal €426.000;</w:t>
              <w:br w:type="textWrapping"/>
              <w:t xml:space="preserve">- Het weerstandsvermogen €100.000 dient te zijn;</w:t>
              <w:br w:type="textWrapping"/>
              <w:t xml:space="preserve">- Het weerstandsvermogen van de JD altijd onmiddellijk opneembaar dient te zijn. </w:t>
            </w:r>
            <w:r w:rsidDel="00000000" w:rsidR="00000000" w:rsidRPr="00000000">
              <w:rPr>
                <w:rtl w:val="0"/>
              </w:rPr>
            </w:r>
          </w:p>
        </w:tc>
      </w:tr>
      <w:tr>
        <w:trPr>
          <w:cantSplit w:val="0"/>
          <w:tblHeader w:val="0"/>
        </w:trPr>
        <w:tc>
          <w:tcPr>
            <w:tcBorders>
              <w:top w:color="000000" w:space="0" w:sz="48" w:val="single"/>
              <w:left w:color="000000" w:space="0" w:sz="6" w:val="single"/>
              <w:bottom w:color="000000" w:space="0" w:sz="36" w:val="single"/>
              <w:right w:color="000000" w:space="0" w:sz="6" w:val="single"/>
            </w:tcBorders>
            <w:shd w:fill="ffffff" w:val="clear"/>
            <w:vAlign w:val="center"/>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Toelichting: </w:t>
            </w:r>
            <w:r w:rsidDel="00000000" w:rsidR="00000000" w:rsidRPr="00000000">
              <w:rPr>
                <w:rtl w:val="0"/>
              </w:rPr>
            </w:r>
          </w:p>
        </w:tc>
        <w:tc>
          <w:tcPr>
            <w:tcBorders>
              <w:top w:color="000000" w:space="0" w:sz="48" w:val="single"/>
              <w:left w:color="000000" w:space="0" w:sz="6" w:val="single"/>
              <w:bottom w:color="000000" w:space="0" w:sz="36" w:val="single"/>
              <w:right w:color="000000" w:space="0" w:sz="6" w:val="single"/>
            </w:tcBorders>
            <w:shd w:fill="ffffff" w:val="clear"/>
            <w:vAlign w:val="center"/>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rtl w:val="0"/>
              </w:rPr>
              <w:t xml:space="preserve">Toelichting: Met €426.000 is berekend dat de JD ca. 4 jaar stabiliteit heeft bij wegvallen van 50% van de inkomsten en onmiddellijk doorvoeren van mogelijke bezuinigingen. Dit lijkt daarmee een goed minimumniveau om naar te streven. Tevens moet een deel hiervan te allen tijde opneembaar zijn om in noodscenario’s te voorzien. </w:t>
            </w:r>
            <w:r w:rsidDel="00000000" w:rsidR="00000000" w:rsidRPr="00000000">
              <w:rPr>
                <w:rtl w:val="0"/>
              </w:rPr>
            </w:r>
          </w:p>
        </w:tc>
      </w:tr>
    </w:tbl>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Voorts zijn de volgende richtlijnen in de statuten opgenomen:</w:t>
      </w:r>
    </w:p>
    <w:p w:rsidR="00000000" w:rsidDel="00000000" w:rsidP="00000000" w:rsidRDefault="00000000" w:rsidRPr="00000000" w14:paraId="0000002A">
      <w:pPr>
        <w:pageBreakBefore w:val="0"/>
        <w:numPr>
          <w:ilvl w:val="0"/>
          <w:numId w:val="2"/>
        </w:numPr>
        <w:ind w:left="720" w:hanging="360"/>
        <w:rPr>
          <w:u w:val="none"/>
        </w:rPr>
      </w:pPr>
      <w:r w:rsidDel="00000000" w:rsidR="00000000" w:rsidRPr="00000000">
        <w:rPr>
          <w:rtl w:val="0"/>
        </w:rPr>
        <w:t xml:space="preserve">De eerste 100% van de gemiddelde jaarbegroting (gedefinieerd als het gemiddelde van de in de voorgaande vier jaar vastgestelde begrote uitgaven van de Jonge Democraten) moet vrij uitkeerbaar worden gehouden.</w:t>
      </w:r>
    </w:p>
    <w:p w:rsidR="00000000" w:rsidDel="00000000" w:rsidP="00000000" w:rsidRDefault="00000000" w:rsidRPr="00000000" w14:paraId="0000002B">
      <w:pPr>
        <w:pageBreakBefore w:val="0"/>
        <w:numPr>
          <w:ilvl w:val="0"/>
          <w:numId w:val="2"/>
        </w:numPr>
        <w:ind w:left="720" w:hanging="360"/>
        <w:rPr>
          <w:u w:val="none"/>
        </w:rPr>
      </w:pPr>
      <w:r w:rsidDel="00000000" w:rsidR="00000000" w:rsidRPr="00000000">
        <w:rPr>
          <w:rtl w:val="0"/>
        </w:rPr>
        <w:t xml:space="preserve">Het vermogen tussen de 100 en 300% van de gemiddelde jaarbegroting mag worden vastgezet in spaardeposito's met een maximale looptijd van vier jaar. </w:t>
      </w:r>
    </w:p>
    <w:p w:rsidR="00000000" w:rsidDel="00000000" w:rsidP="00000000" w:rsidRDefault="00000000" w:rsidRPr="00000000" w14:paraId="0000002C">
      <w:pPr>
        <w:pageBreakBefore w:val="0"/>
        <w:numPr>
          <w:ilvl w:val="0"/>
          <w:numId w:val="2"/>
        </w:numPr>
        <w:ind w:left="720" w:hanging="360"/>
        <w:rPr>
          <w:u w:val="none"/>
        </w:rPr>
      </w:pPr>
      <w:r w:rsidDel="00000000" w:rsidR="00000000" w:rsidRPr="00000000">
        <w:rPr>
          <w:rtl w:val="0"/>
        </w:rPr>
        <w:t xml:space="preserve">Het vermogen boven de 300% van de gemiddelde jaarbegroting mag worden geïnvesteerd in  spaardeposito’s met een langere looptijd en in indexfondsen.</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b w:val="1"/>
          <w:bCs w:val="1"/>
        </w:rPr>
      </w:pPr>
      <w:r w:rsidDel="00000000" w:rsidR="00000000" w:rsidRPr="00000000">
        <w:rPr>
          <w:b w:val="1"/>
          <w:bCs w:val="1"/>
          <w:rtl w:val="0"/>
        </w:rPr>
        <w:t xml:space="preserve">Huidige situatie en toekomstverwachting</w:t>
      </w:r>
    </w:p>
    <w:p w:rsidR="00000000" w:rsidDel="00000000" w:rsidP="00000000" w:rsidRDefault="00000000" w:rsidRPr="00000000" w14:paraId="0000002F">
      <w:pPr>
        <w:pageBreakBefore w:val="0"/>
        <w:rPr>
          <w:b w:val="1"/>
          <w:bCs w:val="1"/>
        </w:rPr>
      </w:pPr>
      <w:r w:rsidDel="00000000" w:rsidR="00000000" w:rsidRPr="00000000">
        <w:rPr>
          <w:rtl w:val="0"/>
        </w:rPr>
        <w:t xml:space="preserve">Sinds de oprichting van de ENS, heeft de JD jaarlijks een bijdrage gedaan aan de algemene reserve. In 2024 zijn twee uitkeringen gedaan (maart en september), wat leidde tot een aanzienlijke afname van het vermogen van de ENS. Op 31 december 2024 was het eigen vermogen van de ENS ca. </w:t>
      </w:r>
      <w:r w:rsidDel="00000000" w:rsidR="00000000" w:rsidRPr="00000000">
        <w:rPr>
          <w:rFonts w:ascii="ArialMT" w:cs="ArialMT" w:eastAsia="ArialMT" w:hAnsi="ArialMT"/>
          <w:rtl w:val="0"/>
        </w:rPr>
        <w:t xml:space="preserve">€</w:t>
      </w:r>
      <w:r w:rsidDel="00000000" w:rsidR="00000000" w:rsidRPr="00000000">
        <w:rPr>
          <w:rtl w:val="0"/>
        </w:rPr>
        <w:t xml:space="preserve">226.000. De uitkeringen waren noodzakelijk vanwege financiële tekorten bij de JD, maar brachten het streefbedrag van </w:t>
      </w:r>
      <w:r w:rsidDel="00000000" w:rsidR="00000000" w:rsidRPr="00000000">
        <w:rPr>
          <w:rFonts w:ascii="ArialMT" w:cs="ArialMT" w:eastAsia="ArialMT" w:hAnsi="ArialMT"/>
          <w:rtl w:val="0"/>
        </w:rPr>
        <w:t xml:space="preserve">€426.000 </w:t>
      </w:r>
      <w:r w:rsidDel="00000000" w:rsidR="00000000" w:rsidRPr="00000000">
        <w:rPr>
          <w:rtl w:val="0"/>
        </w:rPr>
        <w:t xml:space="preserve">verder uit beeld. De verwachting is dat de financiële tekorten bij de JD af zullen nemen. Het herstel van het streefvermogen van €426.000 </w:t>
      </w:r>
      <w:r w:rsidDel="00000000" w:rsidR="00000000" w:rsidRPr="00000000">
        <w:rPr>
          <w:rtl w:val="0"/>
        </w:rPr>
        <w:t xml:space="preserve">(waarvan €100.000 in het weerstandsvermogen)</w:t>
      </w:r>
      <w:r w:rsidDel="00000000" w:rsidR="00000000" w:rsidRPr="00000000">
        <w:rPr>
          <w:rtl w:val="0"/>
        </w:rPr>
        <w:t xml:space="preserve"> is daarom een prioriteit voor de komende beleidsperiode (2026–2030). Dit is afhankelijk van de financiële situatie van de JD, de hoogte van de subsidies en het uitgavenpatroon van de vereniging.  </w:t>
      </w:r>
      <w:r w:rsidDel="00000000" w:rsidR="00000000" w:rsidRPr="00000000">
        <w:rPr>
          <w:rtl w:val="0"/>
        </w:rPr>
      </w:r>
    </w:p>
    <w:p w:rsidR="00000000" w:rsidDel="00000000" w:rsidP="00000000" w:rsidRDefault="00000000" w:rsidRPr="00000000" w14:paraId="00000030">
      <w:pPr>
        <w:pageBreakBefore w:val="0"/>
        <w:rPr>
          <w:b w:val="1"/>
          <w:bCs w:val="1"/>
        </w:rPr>
      </w:pPr>
      <w:r w:rsidDel="00000000" w:rsidR="00000000" w:rsidRPr="00000000">
        <w:rPr>
          <w:rtl w:val="0"/>
        </w:rPr>
      </w:r>
    </w:p>
    <w:p w:rsidR="00000000" w:rsidDel="00000000" w:rsidP="00000000" w:rsidRDefault="00000000" w:rsidRPr="00000000" w14:paraId="00000031">
      <w:pPr>
        <w:pageBreakBefore w:val="0"/>
        <w:rPr>
          <w:b w:val="1"/>
          <w:bCs w:val="1"/>
        </w:rPr>
      </w:pPr>
      <w:r w:rsidDel="00000000" w:rsidR="00000000" w:rsidRPr="00000000">
        <w:rPr>
          <w:b w:val="1"/>
          <w:bCs w:val="1"/>
          <w:rtl w:val="0"/>
        </w:rPr>
        <w:t xml:space="preserve">Relatie JD en ENS</w:t>
      </w:r>
    </w:p>
    <w:p w:rsidR="00000000" w:rsidDel="00000000" w:rsidP="00000000" w:rsidRDefault="00000000" w:rsidRPr="00000000" w14:paraId="00000032">
      <w:pPr>
        <w:rPr/>
      </w:pPr>
      <w:r w:rsidDel="00000000" w:rsidR="00000000" w:rsidRPr="00000000">
        <w:rPr>
          <w:rtl w:val="0"/>
        </w:rPr>
        <w:t xml:space="preserve">De verhouding tussen de JD en de ENS is duidelijk. De JD is verantwoordelijk voor haar eigen reilen en zeilen middels haar begroting en activiteiten. De ENS is opgericht met als doel de langjarige continuïteit te waarborgen. Dat maakt dat de ENS kritisch kijkt naar aanvragen van de JD zodat de sinds 1984 opgebouwde reserve die de ENS beheert ook daadwerkelijk bijdragen aan een langjarige continuïteit. Hoewel het de JD vrij staat om ruime aanvragen te doen waardoor de opgebouwde reserves slechts voor enkele jaren toereikend zijn, heeft de JD ook een verantwoordelijkheid om haar eigen continuïteit te waarborgen. De beschreven marginale toetsingsbevoegdheid en aanvraagprocedure moeten ertoe bijdragen dat uitkeringen hand-in-hand gaan met een zuiniger uitgavenpatroon. De ENS is regelmatig aanwezig op congressen en beschikbaar voor overleg met het landelijk bestuur van de JD. </w:t>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bCs w:val="1"/>
        </w:rPr>
      </w:pPr>
      <w:r w:rsidDel="00000000" w:rsidR="00000000" w:rsidRPr="00000000">
        <w:rPr>
          <w:b w:val="1"/>
          <w:bCs w:val="1"/>
          <w:rtl w:val="0"/>
        </w:rPr>
        <w:t xml:space="preserve">Organisatie</w:t>
      </w:r>
    </w:p>
    <w:p w:rsidR="00000000" w:rsidDel="00000000" w:rsidP="00000000" w:rsidRDefault="00000000" w:rsidRPr="00000000" w14:paraId="00000035">
      <w:pPr>
        <w:pageBreakBefore w:val="0"/>
        <w:rPr/>
      </w:pPr>
      <w:r w:rsidDel="00000000" w:rsidR="00000000" w:rsidRPr="00000000">
        <w:rPr>
          <w:rtl w:val="0"/>
        </w:rPr>
        <w:t xml:space="preserve">Naam: Erwin Nypels Stichting</w:t>
      </w:r>
    </w:p>
    <w:p w:rsidR="00000000" w:rsidDel="00000000" w:rsidP="00000000" w:rsidRDefault="00000000" w:rsidRPr="00000000" w14:paraId="00000036">
      <w:pPr>
        <w:pageBreakBefore w:val="0"/>
        <w:rPr/>
      </w:pPr>
      <w:r w:rsidDel="00000000" w:rsidR="00000000" w:rsidRPr="00000000">
        <w:rPr>
          <w:rtl w:val="0"/>
        </w:rPr>
        <w:t xml:space="preserve">KvK RSIN: 861076825</w:t>
      </w:r>
    </w:p>
    <w:p w:rsidR="00000000" w:rsidDel="00000000" w:rsidP="00000000" w:rsidRDefault="00000000" w:rsidRPr="00000000" w14:paraId="00000037">
      <w:pPr>
        <w:pageBreakBefore w:val="0"/>
        <w:rPr/>
      </w:pPr>
      <w:r w:rsidDel="00000000" w:rsidR="00000000" w:rsidRPr="00000000">
        <w:rPr>
          <w:rtl w:val="0"/>
        </w:rPr>
        <w:t xml:space="preserve">ANBI-status: actief vanaf 13 maart 2020</w:t>
      </w:r>
    </w:p>
    <w:p w:rsidR="00000000" w:rsidDel="00000000" w:rsidP="00000000" w:rsidRDefault="00000000" w:rsidRPr="00000000" w14:paraId="00000038">
      <w:pPr>
        <w:pageBreakBefore w:val="0"/>
        <w:rPr/>
      </w:pPr>
      <w:r w:rsidDel="00000000" w:rsidR="00000000" w:rsidRPr="00000000">
        <w:rPr>
          <w:rtl w:val="0"/>
        </w:rPr>
        <w:t xml:space="preserve"> </w:t>
      </w:r>
    </w:p>
    <w:p w:rsidR="00000000" w:rsidDel="00000000" w:rsidP="00000000" w:rsidRDefault="00000000" w:rsidRPr="00000000" w14:paraId="00000039">
      <w:pPr>
        <w:pageBreakBefore w:val="0"/>
        <w:rPr>
          <w:b w:val="1"/>
          <w:bCs w:val="1"/>
        </w:rPr>
      </w:pPr>
      <w:r w:rsidDel="00000000" w:rsidR="00000000" w:rsidRPr="00000000">
        <w:rPr>
          <w:b w:val="1"/>
          <w:bCs w:val="1"/>
          <w:rtl w:val="0"/>
        </w:rPr>
        <w:t xml:space="preserve">Bestuur</w:t>
      </w:r>
    </w:p>
    <w:p w:rsidR="00000000" w:rsidDel="00000000" w:rsidP="00000000" w:rsidRDefault="00000000" w:rsidRPr="00000000" w14:paraId="0000003A">
      <w:pPr>
        <w:pageBreakBefore w:val="0"/>
        <w:rPr/>
      </w:pPr>
      <w:r w:rsidDel="00000000" w:rsidR="00000000" w:rsidRPr="00000000">
        <w:rPr>
          <w:rtl w:val="0"/>
        </w:rPr>
        <w:t xml:space="preserve">Voorzitter:  Peet Wijnen</w:t>
      </w:r>
    </w:p>
    <w:p w:rsidR="00000000" w:rsidDel="00000000" w:rsidP="00000000" w:rsidRDefault="00000000" w:rsidRPr="00000000" w14:paraId="0000003B">
      <w:pPr>
        <w:pageBreakBefore w:val="0"/>
        <w:rPr/>
      </w:pPr>
      <w:r w:rsidDel="00000000" w:rsidR="00000000" w:rsidRPr="00000000">
        <w:rPr>
          <w:rtl w:val="0"/>
        </w:rPr>
        <w:t xml:space="preserve">Secretaris: Cyriel van Vugt</w:t>
      </w:r>
    </w:p>
    <w:p w:rsidR="00000000" w:rsidDel="00000000" w:rsidP="00000000" w:rsidRDefault="00000000" w:rsidRPr="00000000" w14:paraId="0000003C">
      <w:pPr>
        <w:pageBreakBefore w:val="0"/>
        <w:rPr/>
      </w:pPr>
      <w:r w:rsidDel="00000000" w:rsidR="00000000" w:rsidRPr="00000000">
        <w:rPr>
          <w:rtl w:val="0"/>
        </w:rPr>
        <w:t xml:space="preserve">Penningmeester: Roos Slagter</w:t>
      </w:r>
    </w:p>
    <w:p w:rsidR="00000000" w:rsidDel="00000000" w:rsidP="00000000" w:rsidRDefault="00000000" w:rsidRPr="00000000" w14:paraId="0000003D">
      <w:pPr>
        <w:pageBreakBefore w:val="0"/>
        <w:rPr/>
      </w:pPr>
      <w:r w:rsidDel="00000000" w:rsidR="00000000" w:rsidRPr="00000000">
        <w:rPr>
          <w:rtl w:val="0"/>
        </w:rPr>
        <w:t xml:space="preserve">Algemeen bestuurslid: Kyllian van der Put</w:t>
      </w:r>
    </w:p>
    <w:p w:rsidR="00000000" w:rsidDel="00000000" w:rsidP="00000000" w:rsidRDefault="00000000" w:rsidRPr="00000000" w14:paraId="0000003E">
      <w:pPr>
        <w:pageBreakBefore w:val="0"/>
        <w:rPr/>
      </w:pPr>
      <w:r w:rsidDel="00000000" w:rsidR="00000000" w:rsidRPr="00000000">
        <w:rPr>
          <w:rtl w:val="0"/>
        </w:rPr>
        <w:t xml:space="preserve"> </w:t>
      </w:r>
    </w:p>
    <w:p w:rsidR="00000000" w:rsidDel="00000000" w:rsidP="00000000" w:rsidRDefault="00000000" w:rsidRPr="00000000" w14:paraId="0000003F">
      <w:pPr>
        <w:pageBreakBefore w:val="0"/>
        <w:rPr/>
      </w:pPr>
      <w:r w:rsidDel="00000000" w:rsidR="00000000" w:rsidRPr="00000000">
        <w:rPr>
          <w:rtl w:val="0"/>
        </w:rPr>
        <w:t xml:space="preserve">Het betreft een onbezoldigd bestuur. Naast de bestuursleden zijn er geen anderen die werkzaamheden verrichten voor de stichting.</w:t>
      </w:r>
    </w:p>
    <w:p w:rsidR="00000000" w:rsidDel="00000000" w:rsidP="00000000" w:rsidRDefault="00000000" w:rsidRPr="00000000" w14:paraId="00000040">
      <w:pPr>
        <w:pageBreakBefore w:val="0"/>
        <w:rPr>
          <w:b w:val="1"/>
          <w:bCs w:val="1"/>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